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tabs>
          <w:tab w:val="left" w:pos="6139"/>
        </w:tabs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附件1</w:t>
      </w:r>
    </w:p>
    <w:p>
      <w:pPr>
        <w:numPr>
          <w:ilvl w:val="0"/>
          <w:numId w:val="0"/>
        </w:numPr>
        <w:tabs>
          <w:tab w:val="left" w:pos="6139"/>
        </w:tabs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tabs>
          <w:tab w:val="left" w:pos="6139"/>
        </w:tabs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海南省2019年水泥物理性能检验检测能力</w:t>
      </w:r>
    </w:p>
    <w:p>
      <w:pPr>
        <w:numPr>
          <w:ilvl w:val="0"/>
          <w:numId w:val="0"/>
        </w:numPr>
        <w:tabs>
          <w:tab w:val="left" w:pos="6139"/>
        </w:tabs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/>
        </w:rPr>
        <w:t>验证计划《作业指导书》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各参加实验室：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贵实验室已报名参加“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海南省2019年</w:t>
      </w:r>
      <w:r>
        <w:rPr>
          <w:rFonts w:hint="eastAsia" w:ascii="仿宋" w:hAnsi="仿宋" w:eastAsia="仿宋" w:cs="仿宋"/>
          <w:sz w:val="28"/>
          <w:szCs w:val="28"/>
        </w:rPr>
        <w:t>水泥物理性能检验”能力验证计划。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本次能力验证计划的要求和相关信息如下：</w:t>
      </w:r>
    </w:p>
    <w:p>
      <w:pPr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1.样品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1.1本次能力验证计划样品为:42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5普通硅酸盐水泥1袋，每袋重约5kg，用两层塑料袋封装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2各实验室在收到样品时，应首先对样品状态进行确认，确认被测物品接收状态，如发现包装破损或有泄漏污染等无法测试的情况，应立即与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协会秘书处</w:t>
      </w:r>
      <w:r>
        <w:rPr>
          <w:rFonts w:hint="eastAsia" w:ascii="仿宋" w:hAnsi="仿宋" w:eastAsia="仿宋" w:cs="仿宋"/>
          <w:sz w:val="28"/>
          <w:szCs w:val="28"/>
        </w:rPr>
        <w:t>联系。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1.3收到样品后，请将样品存放在干燥的环境中。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2.检测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2.1本次能力验证计划要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求</w:t>
      </w:r>
      <w:r>
        <w:rPr>
          <w:rFonts w:hint="eastAsia" w:ascii="仿宋" w:hAnsi="仿宋" w:eastAsia="仿宋" w:cs="仿宋"/>
          <w:sz w:val="28"/>
          <w:szCs w:val="28"/>
        </w:rPr>
        <w:t>实验室按照以下标准进行检测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</w:p>
    <w:tbl>
      <w:tblPr>
        <w:tblStyle w:val="3"/>
        <w:tblW w:w="8444" w:type="dxa"/>
        <w:tblInd w:w="7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1"/>
        <w:gridCol w:w="4522"/>
        <w:gridCol w:w="1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1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检验项目</w:t>
            </w:r>
          </w:p>
        </w:tc>
        <w:tc>
          <w:tcPr>
            <w:tcW w:w="4522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检验方法</w:t>
            </w:r>
          </w:p>
        </w:tc>
        <w:tc>
          <w:tcPr>
            <w:tcW w:w="1921" w:type="dxa"/>
          </w:tcPr>
          <w:p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结果要求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</w:trPr>
        <w:tc>
          <w:tcPr>
            <w:tcW w:w="2001" w:type="dxa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标准稠度用水量</w:t>
            </w:r>
          </w:p>
        </w:tc>
        <w:tc>
          <w:tcPr>
            <w:tcW w:w="4522" w:type="dxa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GB/T1346-2011《水泥标准稠度用水量、凝结时间、安定性检验方法》</w:t>
            </w:r>
          </w:p>
        </w:tc>
        <w:tc>
          <w:tcPr>
            <w:tcW w:w="1921" w:type="dxa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结果保留小数点后一位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1" w:type="dxa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初凝时间、凝结时间</w:t>
            </w:r>
          </w:p>
        </w:tc>
        <w:tc>
          <w:tcPr>
            <w:tcW w:w="4522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GB/T1346-2011《水泥标准稠度用水量、凝结时间、安定性检验方法》</w:t>
            </w:r>
          </w:p>
        </w:tc>
        <w:tc>
          <w:tcPr>
            <w:tcW w:w="1921" w:type="dxa"/>
          </w:tcPr>
          <w:p>
            <w:pP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结果保留整数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2001" w:type="dxa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胶砂强度</w:t>
            </w:r>
          </w:p>
        </w:tc>
        <w:tc>
          <w:tcPr>
            <w:tcW w:w="4522" w:type="dxa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GB/T17671-1999《水泥胶砂强度检验方法（ISO法）》</w:t>
            </w:r>
          </w:p>
        </w:tc>
        <w:tc>
          <w:tcPr>
            <w:tcW w:w="1921" w:type="dxa"/>
          </w:tcPr>
          <w:p>
            <w:pPr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结果保留小数点后一位</w:t>
            </w:r>
          </w:p>
        </w:tc>
      </w:tr>
    </w:tbl>
    <w:p>
      <w:pPr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检测前，请将样品放在试验条件下恒温至少24小时。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结果反馈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1请各实验室于2019年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15日</w:t>
      </w:r>
      <w:r>
        <w:rPr>
          <w:rFonts w:hint="eastAsia" w:ascii="仿宋" w:hAnsi="仿宋" w:eastAsia="仿宋" w:cs="仿宋"/>
          <w:sz w:val="28"/>
          <w:szCs w:val="28"/>
        </w:rPr>
        <w:t>前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填</w:t>
      </w:r>
      <w:r>
        <w:rPr>
          <w:rFonts w:hint="eastAsia" w:ascii="仿宋" w:hAnsi="仿宋" w:eastAsia="仿宋" w:cs="仿宋"/>
          <w:sz w:val="28"/>
          <w:szCs w:val="28"/>
        </w:rPr>
        <w:t>报检测结果并上传已盖章的结果报告单和原始记录扫描件；如未按规定时间完成，将被列入迟到结果，不参加数据统计。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2最终结果通知单及证书中体现的单位名称为参加实验室填写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的“出报告名称”，请实验室务必及时填写</w:t>
      </w:r>
      <w:r>
        <w:rPr>
          <w:rFonts w:hint="eastAsia" w:ascii="仿宋" w:hAnsi="仿宋" w:eastAsia="仿宋" w:cs="仿宋"/>
          <w:sz w:val="28"/>
          <w:szCs w:val="28"/>
        </w:rPr>
        <w:t>并核实“出报告名称”无误。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4.保密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在本次能力验证计划实施过程中，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协会将为参加能力验证的实验室保密。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参加本计划的实验室如有任何疑问，请及时与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协会</w:t>
      </w:r>
      <w:r>
        <w:rPr>
          <w:rFonts w:hint="eastAsia" w:ascii="仿宋" w:hAnsi="仿宋" w:eastAsia="仿宋" w:cs="仿宋"/>
          <w:sz w:val="28"/>
          <w:szCs w:val="28"/>
        </w:rPr>
        <w:t>联系。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139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tabs>
          <w:tab w:val="left" w:pos="6139"/>
        </w:tabs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2C72EA"/>
    <w:rsid w:val="4D2C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2019-09-18T03:59:00Z</dcterms:created>
  <dc:creator>ଲ</dc:creator>
  <cp:lastModifiedBy>ଲ</cp:lastModifiedBy>
  <dcterms:modified xsi:type="dcterms:W3CDTF">2019-09-18T04:00:01Z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